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2A0" w:rsidRDefault="00620763">
      <w:pPr>
        <w:pStyle w:val="Nzev"/>
      </w:pPr>
      <w:bookmarkStart w:id="0" w:name="_GoBack"/>
      <w:r>
        <w:t>Structure of the paper</w:t>
      </w:r>
    </w:p>
    <w:p w:rsidR="00D572A0" w:rsidRDefault="00D572A0">
      <w:pPr>
        <w:pStyle w:val="Zkladntext"/>
        <w:rPr>
          <w:b/>
          <w:sz w:val="24"/>
        </w:rPr>
      </w:pPr>
    </w:p>
    <w:p w:rsidR="00D572A0" w:rsidRDefault="00620763">
      <w:pPr>
        <w:pStyle w:val="Zkladntext"/>
        <w:ind w:left="117"/>
      </w:pPr>
      <w:r>
        <w:t>The structure of the paper should be set out according to the conventions for scientific writing in economics.</w:t>
      </w:r>
    </w:p>
    <w:p w:rsidR="00D572A0" w:rsidRDefault="00D572A0">
      <w:pPr>
        <w:pStyle w:val="Zkladntext"/>
        <w:spacing w:before="4"/>
        <w:rPr>
          <w:sz w:val="24"/>
        </w:rPr>
      </w:pPr>
    </w:p>
    <w:p w:rsidR="00D572A0" w:rsidRDefault="00620763">
      <w:pPr>
        <w:pStyle w:val="Zkladntext"/>
        <w:ind w:left="117" w:right="253"/>
      </w:pPr>
      <w:r>
        <w:t xml:space="preserve">Empirical parts of papers should be clearly explained. Data definitions and sources should be reported in detail, possibly in a separate table with summary statistics. The variables used in regressions should be stated in full words rather than in shorted </w:t>
      </w:r>
      <w:r>
        <w:t>notation. The dependent variable should be defined and the sample coverage and goodness of fit statistics should be reported.</w:t>
      </w:r>
    </w:p>
    <w:p w:rsidR="00D572A0" w:rsidRDefault="00D572A0">
      <w:pPr>
        <w:pStyle w:val="Zkladntext"/>
        <w:spacing w:before="6"/>
        <w:rPr>
          <w:sz w:val="24"/>
        </w:rPr>
      </w:pPr>
    </w:p>
    <w:p w:rsidR="00D572A0" w:rsidRDefault="00620763">
      <w:pPr>
        <w:pStyle w:val="Nadpis1"/>
      </w:pPr>
      <w:r>
        <w:t>Title Page</w:t>
      </w:r>
    </w:p>
    <w:p w:rsidR="00D572A0" w:rsidRDefault="00D572A0">
      <w:pPr>
        <w:pStyle w:val="Zkladntext"/>
        <w:spacing w:before="2"/>
        <w:rPr>
          <w:b/>
          <w:sz w:val="24"/>
        </w:rPr>
      </w:pPr>
    </w:p>
    <w:p w:rsidR="00D572A0" w:rsidRDefault="00620763">
      <w:pPr>
        <w:pStyle w:val="Zkladntext"/>
        <w:ind w:left="117"/>
      </w:pPr>
      <w:r>
        <w:t>The title page should include:</w:t>
      </w:r>
    </w:p>
    <w:p w:rsidR="00D572A0" w:rsidRDefault="00D572A0">
      <w:pPr>
        <w:pStyle w:val="Zkladntext"/>
        <w:spacing w:before="4"/>
        <w:rPr>
          <w:sz w:val="24"/>
        </w:rPr>
      </w:pP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6"/>
          <w:tab w:val="left" w:pos="838"/>
        </w:tabs>
        <w:ind w:hanging="361"/>
        <w:rPr>
          <w:sz w:val="20"/>
        </w:rPr>
      </w:pPr>
      <w:r>
        <w:rPr>
          <w:sz w:val="20"/>
        </w:rPr>
        <w:t>A concise</w:t>
      </w:r>
      <w:r>
        <w:rPr>
          <w:spacing w:val="-3"/>
          <w:sz w:val="20"/>
        </w:rPr>
        <w:t xml:space="preserve"> </w:t>
      </w:r>
      <w:r>
        <w:rPr>
          <w:sz w:val="20"/>
        </w:rPr>
        <w:t>title</w:t>
      </w: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6"/>
          <w:tab w:val="left" w:pos="838"/>
        </w:tabs>
        <w:spacing w:line="244" w:lineRule="exact"/>
        <w:ind w:hanging="361"/>
        <w:rPr>
          <w:sz w:val="20"/>
        </w:rPr>
      </w:pPr>
      <w:r>
        <w:rPr>
          <w:sz w:val="20"/>
        </w:rPr>
        <w:t>The name(s) of the</w:t>
      </w:r>
      <w:r>
        <w:rPr>
          <w:spacing w:val="-3"/>
          <w:sz w:val="20"/>
        </w:rPr>
        <w:t xml:space="preserve"> </w:t>
      </w:r>
      <w:r>
        <w:rPr>
          <w:sz w:val="20"/>
        </w:rPr>
        <w:t>author(s)</w:t>
      </w: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6"/>
          <w:tab w:val="left" w:pos="838"/>
        </w:tabs>
        <w:spacing w:line="244" w:lineRule="exact"/>
        <w:ind w:hanging="361"/>
        <w:rPr>
          <w:sz w:val="20"/>
        </w:rPr>
      </w:pPr>
      <w:r>
        <w:rPr>
          <w:sz w:val="20"/>
        </w:rPr>
        <w:t>The affiliation(s) and address(es) of th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author(s)</w:t>
      </w: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6"/>
          <w:tab w:val="left" w:pos="838"/>
        </w:tabs>
        <w:spacing w:line="244" w:lineRule="exact"/>
        <w:ind w:hanging="361"/>
        <w:rPr>
          <w:sz w:val="20"/>
        </w:rPr>
      </w:pPr>
      <w:r>
        <w:rPr>
          <w:sz w:val="20"/>
        </w:rPr>
        <w:t>The e-mail address and telephone number of the corresponding</w:t>
      </w:r>
      <w:r>
        <w:rPr>
          <w:spacing w:val="-8"/>
          <w:sz w:val="20"/>
        </w:rPr>
        <w:t xml:space="preserve"> </w:t>
      </w:r>
      <w:r>
        <w:rPr>
          <w:sz w:val="20"/>
        </w:rPr>
        <w:t>author</w:t>
      </w: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6"/>
          <w:tab w:val="left" w:pos="838"/>
        </w:tabs>
        <w:ind w:right="630"/>
        <w:rPr>
          <w:sz w:val="20"/>
        </w:rPr>
      </w:pPr>
      <w:r>
        <w:rPr>
          <w:sz w:val="20"/>
        </w:rPr>
        <w:t>Abstract of the length between 150 and 250 words. The abstract should not contain any undefined abbreviations or unspecified</w:t>
      </w:r>
      <w:r>
        <w:rPr>
          <w:spacing w:val="-3"/>
          <w:sz w:val="20"/>
        </w:rPr>
        <w:t xml:space="preserve"> </w:t>
      </w:r>
      <w:r>
        <w:rPr>
          <w:sz w:val="20"/>
        </w:rPr>
        <w:t>references.</w:t>
      </w: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6"/>
          <w:tab w:val="left" w:pos="838"/>
        </w:tabs>
        <w:spacing w:line="244" w:lineRule="exact"/>
        <w:ind w:hanging="361"/>
        <w:rPr>
          <w:sz w:val="20"/>
        </w:rPr>
      </w:pPr>
      <w:r>
        <w:rPr>
          <w:sz w:val="20"/>
        </w:rPr>
        <w:t>Keywords, usually 4 to 6 keywords which</w:t>
      </w:r>
      <w:r>
        <w:rPr>
          <w:sz w:val="20"/>
        </w:rPr>
        <w:t xml:space="preserve"> can be used for indexing</w:t>
      </w:r>
      <w:r>
        <w:rPr>
          <w:spacing w:val="-14"/>
          <w:sz w:val="20"/>
        </w:rPr>
        <w:t xml:space="preserve"> </w:t>
      </w:r>
      <w:r>
        <w:rPr>
          <w:sz w:val="20"/>
        </w:rPr>
        <w:t>purposes.</w:t>
      </w: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6"/>
          <w:tab w:val="left" w:pos="838"/>
        </w:tabs>
        <w:ind w:right="467"/>
        <w:rPr>
          <w:sz w:val="20"/>
        </w:rPr>
      </w:pPr>
      <w:r>
        <w:rPr>
          <w:sz w:val="20"/>
        </w:rPr>
        <w:t>JEL Classification. This classification system is prepared and published by the Journal of Economic Literature, see</w:t>
      </w:r>
      <w:r>
        <w:rPr>
          <w:spacing w:val="-3"/>
          <w:sz w:val="20"/>
        </w:rPr>
        <w:t xml:space="preserve"> </w:t>
      </w:r>
      <w:hyperlink r:id="rId7">
        <w:r>
          <w:rPr>
            <w:sz w:val="20"/>
          </w:rPr>
          <w:t>http://www.aeaweb.org/jel/guide/jel.php</w:t>
        </w:r>
      </w:hyperlink>
    </w:p>
    <w:p w:rsidR="00D572A0" w:rsidRDefault="00D572A0">
      <w:pPr>
        <w:pStyle w:val="Zkladntext"/>
        <w:spacing w:before="3"/>
        <w:rPr>
          <w:sz w:val="24"/>
        </w:rPr>
      </w:pPr>
    </w:p>
    <w:p w:rsidR="00D572A0" w:rsidRDefault="00620763">
      <w:pPr>
        <w:pStyle w:val="Zkladntext"/>
        <w:ind w:left="117" w:right="436"/>
      </w:pPr>
      <w:r>
        <w:t>All above mentioned data are presented in the language of the manuscript, usually in English, on the separate sheet of paper.</w:t>
      </w:r>
    </w:p>
    <w:p w:rsidR="00D572A0" w:rsidRDefault="00D572A0">
      <w:pPr>
        <w:pStyle w:val="Zkladntext"/>
        <w:spacing w:before="4"/>
        <w:rPr>
          <w:sz w:val="24"/>
        </w:rPr>
      </w:pPr>
    </w:p>
    <w:p w:rsidR="00D572A0" w:rsidRDefault="00D572A0">
      <w:pPr>
        <w:pStyle w:val="Zkladntext"/>
        <w:spacing w:before="5"/>
        <w:rPr>
          <w:sz w:val="24"/>
        </w:rPr>
      </w:pPr>
    </w:p>
    <w:p w:rsidR="00D572A0" w:rsidRDefault="00620763">
      <w:pPr>
        <w:pStyle w:val="Nadpis1"/>
      </w:pPr>
      <w:r>
        <w:t>He</w:t>
      </w:r>
      <w:r>
        <w:t>adings</w:t>
      </w:r>
    </w:p>
    <w:p w:rsidR="00D572A0" w:rsidRDefault="00D572A0">
      <w:pPr>
        <w:pStyle w:val="Zkladntext"/>
        <w:spacing w:before="2"/>
        <w:rPr>
          <w:b/>
          <w:sz w:val="24"/>
        </w:rPr>
      </w:pPr>
    </w:p>
    <w:p w:rsidR="00D572A0" w:rsidRDefault="00620763">
      <w:pPr>
        <w:pStyle w:val="Zkladntext"/>
        <w:ind w:left="117"/>
      </w:pPr>
      <w:r>
        <w:t>Headings are numbered using the decimal system with no more than three levels.</w:t>
      </w:r>
    </w:p>
    <w:p w:rsidR="00D572A0" w:rsidRDefault="00D572A0">
      <w:pPr>
        <w:pStyle w:val="Zkladntext"/>
        <w:spacing w:before="6"/>
        <w:rPr>
          <w:sz w:val="24"/>
        </w:rPr>
      </w:pPr>
    </w:p>
    <w:p w:rsidR="00D572A0" w:rsidRDefault="00620763">
      <w:pPr>
        <w:pStyle w:val="Nadpis1"/>
        <w:spacing w:before="1"/>
      </w:pPr>
      <w:r>
        <w:t>Abbreviations</w:t>
      </w:r>
    </w:p>
    <w:p w:rsidR="00D572A0" w:rsidRDefault="00D572A0">
      <w:pPr>
        <w:pStyle w:val="Zkladntext"/>
        <w:spacing w:before="1"/>
        <w:rPr>
          <w:b/>
          <w:sz w:val="24"/>
        </w:rPr>
      </w:pPr>
    </w:p>
    <w:p w:rsidR="00D572A0" w:rsidRDefault="00620763">
      <w:pPr>
        <w:pStyle w:val="Zkladntext"/>
        <w:ind w:left="117"/>
      </w:pPr>
      <w:r>
        <w:t>Abbreviations should be defined at first mention and used consistently thereafter.</w:t>
      </w:r>
    </w:p>
    <w:p w:rsidR="00D572A0" w:rsidRDefault="00D572A0">
      <w:pPr>
        <w:pStyle w:val="Zkladntext"/>
        <w:spacing w:before="6"/>
        <w:rPr>
          <w:sz w:val="24"/>
        </w:rPr>
      </w:pPr>
    </w:p>
    <w:p w:rsidR="00D572A0" w:rsidRDefault="00620763">
      <w:pPr>
        <w:pStyle w:val="Nadpis1"/>
        <w:spacing w:before="1"/>
      </w:pPr>
      <w:r>
        <w:t>Footnotes</w:t>
      </w:r>
    </w:p>
    <w:p w:rsidR="00D572A0" w:rsidRDefault="00D572A0">
      <w:pPr>
        <w:pStyle w:val="Zkladntext"/>
        <w:spacing w:before="1"/>
        <w:rPr>
          <w:b/>
          <w:sz w:val="24"/>
        </w:rPr>
      </w:pP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sz w:val="20"/>
        </w:rPr>
        <w:t>Footnotes can be used to give additional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information.</w:t>
      </w: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7"/>
          <w:tab w:val="left" w:pos="838"/>
        </w:tabs>
        <w:spacing w:line="244" w:lineRule="exact"/>
        <w:ind w:hanging="361"/>
        <w:rPr>
          <w:sz w:val="20"/>
        </w:rPr>
      </w:pPr>
      <w:r>
        <w:rPr>
          <w:sz w:val="20"/>
        </w:rPr>
        <w:t>Foot</w:t>
      </w:r>
      <w:r>
        <w:rPr>
          <w:sz w:val="20"/>
        </w:rPr>
        <w:t>notes may include the citation of a reference included in the reference</w:t>
      </w:r>
      <w:r>
        <w:rPr>
          <w:spacing w:val="-15"/>
          <w:sz w:val="20"/>
        </w:rPr>
        <w:t xml:space="preserve"> </w:t>
      </w:r>
      <w:r>
        <w:rPr>
          <w:sz w:val="20"/>
        </w:rPr>
        <w:t>list.</w:t>
      </w: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7"/>
          <w:tab w:val="left" w:pos="838"/>
        </w:tabs>
        <w:ind w:right="113"/>
        <w:rPr>
          <w:sz w:val="20"/>
        </w:rPr>
      </w:pPr>
      <w:r>
        <w:rPr>
          <w:sz w:val="20"/>
        </w:rPr>
        <w:t>The footnote should not consist solely of a citation, and they should not include the bibliographic details of a</w:t>
      </w:r>
      <w:r>
        <w:rPr>
          <w:spacing w:val="-2"/>
          <w:sz w:val="20"/>
        </w:rPr>
        <w:t xml:space="preserve"> </w:t>
      </w:r>
      <w:r>
        <w:rPr>
          <w:sz w:val="20"/>
        </w:rPr>
        <w:t>reference.</w:t>
      </w: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7"/>
          <w:tab w:val="left" w:pos="838"/>
        </w:tabs>
        <w:spacing w:line="244" w:lineRule="exact"/>
        <w:ind w:hanging="361"/>
        <w:rPr>
          <w:sz w:val="20"/>
        </w:rPr>
      </w:pPr>
      <w:r>
        <w:rPr>
          <w:sz w:val="20"/>
        </w:rPr>
        <w:t>Do not include any figures or tables to</w:t>
      </w:r>
      <w:r>
        <w:rPr>
          <w:spacing w:val="-8"/>
          <w:sz w:val="20"/>
        </w:rPr>
        <w:t xml:space="preserve"> </w:t>
      </w:r>
      <w:r>
        <w:rPr>
          <w:sz w:val="20"/>
        </w:rPr>
        <w:t>footnotes.</w:t>
      </w: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7"/>
          <w:tab w:val="left" w:pos="838"/>
        </w:tabs>
        <w:spacing w:line="244" w:lineRule="exact"/>
        <w:ind w:hanging="361"/>
        <w:rPr>
          <w:sz w:val="20"/>
        </w:rPr>
      </w:pPr>
      <w:r>
        <w:rPr>
          <w:sz w:val="20"/>
        </w:rPr>
        <w:t>Number footnotes</w:t>
      </w:r>
      <w:r>
        <w:rPr>
          <w:spacing w:val="-2"/>
          <w:sz w:val="20"/>
        </w:rPr>
        <w:t xml:space="preserve"> </w:t>
      </w:r>
      <w:r>
        <w:rPr>
          <w:sz w:val="20"/>
        </w:rPr>
        <w:t>consecutively.</w:t>
      </w: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sz w:val="20"/>
        </w:rPr>
        <w:t>Always use footnotes instead of</w:t>
      </w:r>
      <w:r>
        <w:rPr>
          <w:spacing w:val="-6"/>
          <w:sz w:val="20"/>
        </w:rPr>
        <w:t xml:space="preserve"> </w:t>
      </w:r>
      <w:r>
        <w:rPr>
          <w:sz w:val="20"/>
        </w:rPr>
        <w:t>endnotes.</w:t>
      </w:r>
    </w:p>
    <w:p w:rsidR="00D572A0" w:rsidRDefault="00D572A0">
      <w:pPr>
        <w:pStyle w:val="Zkladntext"/>
        <w:spacing w:before="6"/>
        <w:rPr>
          <w:sz w:val="24"/>
        </w:rPr>
      </w:pPr>
    </w:p>
    <w:p w:rsidR="00D572A0" w:rsidRDefault="00620763">
      <w:pPr>
        <w:pStyle w:val="Nadpis1"/>
      </w:pPr>
      <w:r>
        <w:t>Mathematical notation</w:t>
      </w:r>
    </w:p>
    <w:p w:rsidR="00D572A0" w:rsidRDefault="00D572A0">
      <w:pPr>
        <w:pStyle w:val="Zkladntext"/>
        <w:spacing w:before="1"/>
        <w:rPr>
          <w:b/>
          <w:sz w:val="24"/>
        </w:rPr>
      </w:pPr>
    </w:p>
    <w:p w:rsidR="00D572A0" w:rsidRDefault="00620763">
      <w:pPr>
        <w:pStyle w:val="Zkladntext"/>
        <w:ind w:left="117"/>
      </w:pPr>
      <w:r>
        <w:t>Please, use the standard mathematical notation for formulae, symbols etc.</w:t>
      </w:r>
    </w:p>
    <w:p w:rsidR="00D572A0" w:rsidRDefault="00D572A0">
      <w:pPr>
        <w:pStyle w:val="Zkladntext"/>
        <w:spacing w:before="4"/>
        <w:rPr>
          <w:sz w:val="24"/>
        </w:rPr>
      </w:pP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7"/>
          <w:tab w:val="left" w:pos="838"/>
        </w:tabs>
        <w:spacing w:before="1" w:line="244" w:lineRule="exact"/>
        <w:ind w:hanging="361"/>
        <w:rPr>
          <w:sz w:val="20"/>
        </w:rPr>
      </w:pPr>
      <w:r>
        <w:rPr>
          <w:sz w:val="20"/>
        </w:rPr>
        <w:t>Italic is used for denotation of mathematical constants, variables, and unknown</w:t>
      </w:r>
      <w:r>
        <w:rPr>
          <w:spacing w:val="-22"/>
          <w:sz w:val="20"/>
        </w:rPr>
        <w:t xml:space="preserve"> </w:t>
      </w:r>
      <w:r>
        <w:rPr>
          <w:sz w:val="20"/>
        </w:rPr>
        <w:t>quantities.</w:t>
      </w: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7"/>
          <w:tab w:val="left" w:pos="838"/>
        </w:tabs>
        <w:ind w:right="404"/>
        <w:rPr>
          <w:sz w:val="20"/>
        </w:rPr>
      </w:pPr>
      <w:r>
        <w:rPr>
          <w:sz w:val="20"/>
        </w:rPr>
        <w:t>Roman/upright is used f</w:t>
      </w:r>
      <w:r>
        <w:rPr>
          <w:sz w:val="20"/>
        </w:rPr>
        <w:t>or numerals, operators, and punctuation, and commonly defined functions or abbreviations, e.g., cos, det, e or exp, lim, log, max, min, sin, tan, d (for</w:t>
      </w:r>
      <w:r>
        <w:rPr>
          <w:spacing w:val="-19"/>
          <w:sz w:val="20"/>
        </w:rPr>
        <w:t xml:space="preserve"> </w:t>
      </w:r>
      <w:r>
        <w:rPr>
          <w:sz w:val="20"/>
        </w:rPr>
        <w:t>derivative).</w:t>
      </w: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sz w:val="20"/>
        </w:rPr>
        <w:t>Bold for vectors, tensors, and</w:t>
      </w:r>
      <w:r>
        <w:rPr>
          <w:spacing w:val="-5"/>
          <w:sz w:val="20"/>
        </w:rPr>
        <w:t xml:space="preserve"> </w:t>
      </w:r>
      <w:r>
        <w:rPr>
          <w:sz w:val="20"/>
        </w:rPr>
        <w:t>matrices.</w:t>
      </w:r>
    </w:p>
    <w:p w:rsidR="00D572A0" w:rsidRDefault="00D572A0">
      <w:pPr>
        <w:rPr>
          <w:sz w:val="20"/>
        </w:rPr>
        <w:sectPr w:rsidR="00D572A0">
          <w:headerReference w:type="default" r:id="rId8"/>
          <w:type w:val="continuous"/>
          <w:pgSz w:w="11910" w:h="16840"/>
          <w:pgMar w:top="1320" w:right="1300" w:bottom="280" w:left="1300" w:header="688" w:footer="708" w:gutter="0"/>
          <w:cols w:space="708"/>
        </w:sectPr>
      </w:pP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7"/>
          <w:tab w:val="left" w:pos="838"/>
        </w:tabs>
        <w:spacing w:before="90"/>
        <w:ind w:right="267"/>
        <w:rPr>
          <w:sz w:val="20"/>
        </w:rPr>
      </w:pPr>
      <w:r>
        <w:rPr>
          <w:sz w:val="20"/>
        </w:rPr>
        <w:lastRenderedPageBreak/>
        <w:t>Mathematical expressions are advised to be edited using the Microsoft Equation editing tool or similar software.</w:t>
      </w: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7"/>
          <w:tab w:val="left" w:pos="838"/>
        </w:tabs>
        <w:spacing w:line="244" w:lineRule="exact"/>
        <w:ind w:hanging="361"/>
        <w:rPr>
          <w:sz w:val="20"/>
        </w:rPr>
      </w:pPr>
      <w:r>
        <w:rPr>
          <w:sz w:val="20"/>
        </w:rPr>
        <w:t>All equations are to be numbered using Arabic numerals in</w:t>
      </w:r>
      <w:r>
        <w:rPr>
          <w:spacing w:val="-10"/>
          <w:sz w:val="20"/>
        </w:rPr>
        <w:t xml:space="preserve"> </w:t>
      </w:r>
      <w:r>
        <w:rPr>
          <w:sz w:val="20"/>
        </w:rPr>
        <w:t>parenthesis.</w:t>
      </w:r>
    </w:p>
    <w:p w:rsidR="00D572A0" w:rsidRDefault="00D572A0">
      <w:pPr>
        <w:pStyle w:val="Zkladntext"/>
        <w:spacing w:before="6"/>
        <w:rPr>
          <w:sz w:val="24"/>
        </w:rPr>
      </w:pPr>
    </w:p>
    <w:p w:rsidR="00D572A0" w:rsidRDefault="00620763">
      <w:pPr>
        <w:pStyle w:val="Nadpis1"/>
      </w:pPr>
      <w:r>
        <w:t>P</w:t>
      </w:r>
      <w:r>
        <w:t>age layout of manuscript</w:t>
      </w:r>
    </w:p>
    <w:p w:rsidR="00D572A0" w:rsidRDefault="00D572A0">
      <w:pPr>
        <w:pStyle w:val="Zkladntext"/>
        <w:spacing w:before="1"/>
        <w:rPr>
          <w:b/>
          <w:sz w:val="24"/>
        </w:rPr>
      </w:pPr>
    </w:p>
    <w:p w:rsidR="00D572A0" w:rsidRDefault="00620763">
      <w:pPr>
        <w:pStyle w:val="Zkladntext"/>
        <w:spacing w:before="1"/>
        <w:ind w:left="117"/>
      </w:pPr>
      <w:r>
        <w:t>Page format A4, all margins 2 cm.</w:t>
      </w:r>
    </w:p>
    <w:p w:rsidR="00D572A0" w:rsidRDefault="00D572A0">
      <w:pPr>
        <w:pStyle w:val="Zkladntext"/>
        <w:spacing w:before="6"/>
        <w:rPr>
          <w:sz w:val="24"/>
        </w:rPr>
      </w:pPr>
    </w:p>
    <w:p w:rsidR="00D572A0" w:rsidRDefault="00620763">
      <w:pPr>
        <w:pStyle w:val="Nadpis1"/>
      </w:pPr>
      <w:r>
        <w:t>Fonts</w:t>
      </w:r>
    </w:p>
    <w:p w:rsidR="00D572A0" w:rsidRDefault="00D572A0">
      <w:pPr>
        <w:pStyle w:val="Zkladntext"/>
        <w:spacing w:before="2"/>
        <w:rPr>
          <w:b/>
          <w:sz w:val="24"/>
        </w:rPr>
      </w:pP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ind w:left="836" w:hanging="361"/>
        <w:rPr>
          <w:sz w:val="20"/>
        </w:rPr>
      </w:pPr>
      <w:r>
        <w:rPr>
          <w:sz w:val="20"/>
        </w:rPr>
        <w:t>Title of the paper in Times New Roman, size</w:t>
      </w:r>
      <w:r>
        <w:rPr>
          <w:spacing w:val="-3"/>
          <w:sz w:val="20"/>
        </w:rPr>
        <w:t xml:space="preserve"> </w:t>
      </w:r>
      <w:r>
        <w:rPr>
          <w:sz w:val="20"/>
        </w:rPr>
        <w:t>16,</w:t>
      </w: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0"/>
        </w:rPr>
      </w:pPr>
      <w:r>
        <w:rPr>
          <w:sz w:val="20"/>
        </w:rPr>
        <w:t>Text of the paper in Times New Roman, size 10, titles in</w:t>
      </w:r>
      <w:r>
        <w:rPr>
          <w:spacing w:val="-9"/>
          <w:sz w:val="20"/>
        </w:rPr>
        <w:t xml:space="preserve"> </w:t>
      </w:r>
      <w:r>
        <w:rPr>
          <w:sz w:val="20"/>
        </w:rPr>
        <w:t>bold.</w:t>
      </w:r>
    </w:p>
    <w:p w:rsidR="00D572A0" w:rsidRDefault="00D572A0">
      <w:pPr>
        <w:pStyle w:val="Zkladntext"/>
        <w:spacing w:before="5"/>
        <w:rPr>
          <w:sz w:val="24"/>
        </w:rPr>
      </w:pPr>
    </w:p>
    <w:p w:rsidR="00D572A0" w:rsidRDefault="00620763">
      <w:pPr>
        <w:pStyle w:val="Nadpis1"/>
      </w:pPr>
      <w:r>
        <w:t>Paragraphs</w:t>
      </w:r>
    </w:p>
    <w:p w:rsidR="00D572A0" w:rsidRDefault="00D572A0">
      <w:pPr>
        <w:pStyle w:val="Zkladntext"/>
        <w:spacing w:before="2"/>
        <w:rPr>
          <w:b/>
          <w:sz w:val="24"/>
        </w:rPr>
      </w:pP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line="244" w:lineRule="exact"/>
        <w:ind w:left="836" w:hanging="361"/>
        <w:rPr>
          <w:sz w:val="20"/>
        </w:rPr>
      </w:pPr>
      <w:r>
        <w:rPr>
          <w:sz w:val="20"/>
        </w:rPr>
        <w:t>Line spaces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line="244" w:lineRule="exact"/>
        <w:ind w:left="836" w:hanging="361"/>
        <w:rPr>
          <w:sz w:val="20"/>
        </w:rPr>
      </w:pPr>
      <w:r>
        <w:rPr>
          <w:sz w:val="20"/>
        </w:rPr>
        <w:t>The first paragraph of each part is aligned in blocs, first line of other paragraphs is intended 0.5</w:t>
      </w:r>
      <w:r>
        <w:rPr>
          <w:spacing w:val="-13"/>
          <w:sz w:val="20"/>
        </w:rPr>
        <w:t xml:space="preserve"> </w:t>
      </w:r>
      <w:r>
        <w:rPr>
          <w:sz w:val="20"/>
        </w:rPr>
        <w:t>cm.</w:t>
      </w: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line="244" w:lineRule="exact"/>
        <w:ind w:left="836" w:hanging="361"/>
        <w:rPr>
          <w:sz w:val="20"/>
        </w:rPr>
      </w:pPr>
      <w:r>
        <w:rPr>
          <w:sz w:val="20"/>
        </w:rPr>
        <w:t>All paragraphs aligned in</w:t>
      </w:r>
      <w:r>
        <w:rPr>
          <w:spacing w:val="-4"/>
          <w:sz w:val="20"/>
        </w:rPr>
        <w:t xml:space="preserve"> </w:t>
      </w:r>
      <w:r>
        <w:rPr>
          <w:sz w:val="20"/>
        </w:rPr>
        <w:t>blocs.</w:t>
      </w: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line="244" w:lineRule="exact"/>
        <w:ind w:left="836" w:hanging="361"/>
        <w:rPr>
          <w:sz w:val="20"/>
        </w:rPr>
      </w:pPr>
      <w:r>
        <w:rPr>
          <w:sz w:val="20"/>
        </w:rPr>
        <w:t>The space after each paragraph is</w:t>
      </w:r>
      <w:r>
        <w:rPr>
          <w:spacing w:val="-4"/>
          <w:sz w:val="20"/>
        </w:rPr>
        <w:t xml:space="preserve"> </w:t>
      </w:r>
      <w:r>
        <w:rPr>
          <w:sz w:val="20"/>
        </w:rPr>
        <w:t>6pt.</w:t>
      </w:r>
    </w:p>
    <w:p w:rsidR="00D572A0" w:rsidRDefault="00D572A0">
      <w:pPr>
        <w:pStyle w:val="Zkladntext"/>
        <w:spacing w:before="6"/>
        <w:rPr>
          <w:sz w:val="24"/>
        </w:rPr>
      </w:pPr>
    </w:p>
    <w:p w:rsidR="00D572A0" w:rsidRDefault="00620763">
      <w:pPr>
        <w:pStyle w:val="Nadpis1"/>
        <w:ind w:left="116"/>
      </w:pPr>
      <w:r>
        <w:t>Tables and Figures</w:t>
      </w:r>
    </w:p>
    <w:p w:rsidR="00D572A0" w:rsidRDefault="00D572A0">
      <w:pPr>
        <w:pStyle w:val="Zkladntext"/>
        <w:spacing w:before="1"/>
        <w:rPr>
          <w:b/>
          <w:sz w:val="24"/>
        </w:rPr>
      </w:pP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ind w:left="836" w:hanging="361"/>
        <w:rPr>
          <w:sz w:val="20"/>
        </w:rPr>
      </w:pPr>
      <w:r>
        <w:rPr>
          <w:sz w:val="20"/>
        </w:rPr>
        <w:t>For each of these objects, please use only the title “Tabl</w:t>
      </w:r>
      <w:r>
        <w:rPr>
          <w:sz w:val="20"/>
        </w:rPr>
        <w:t>e” or “Fig.” and concise</w:t>
      </w:r>
      <w:r>
        <w:rPr>
          <w:spacing w:val="-17"/>
          <w:sz w:val="20"/>
        </w:rPr>
        <w:t xml:space="preserve"> </w:t>
      </w:r>
      <w:r>
        <w:rPr>
          <w:sz w:val="20"/>
        </w:rPr>
        <w:t>caption.</w:t>
      </w: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ind w:left="836" w:hanging="361"/>
        <w:rPr>
          <w:sz w:val="20"/>
        </w:rPr>
      </w:pPr>
      <w:r>
        <w:rPr>
          <w:sz w:val="20"/>
        </w:rPr>
        <w:t>All tables and figures are to be numbered using Arabic</w:t>
      </w:r>
      <w:r>
        <w:rPr>
          <w:spacing w:val="-9"/>
          <w:sz w:val="20"/>
        </w:rPr>
        <w:t xml:space="preserve"> </w:t>
      </w:r>
      <w:r>
        <w:rPr>
          <w:sz w:val="20"/>
        </w:rPr>
        <w:t>numerals.</w:t>
      </w: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line="244" w:lineRule="exact"/>
        <w:ind w:left="836" w:hanging="361"/>
        <w:rPr>
          <w:sz w:val="20"/>
        </w:rPr>
      </w:pPr>
      <w:r>
        <w:rPr>
          <w:sz w:val="20"/>
        </w:rPr>
        <w:t>Do not include the title in the object; it should be located as the text above the</w:t>
      </w:r>
      <w:r>
        <w:rPr>
          <w:spacing w:val="-28"/>
          <w:sz w:val="20"/>
        </w:rPr>
        <w:t xml:space="preserve"> </w:t>
      </w:r>
      <w:r>
        <w:rPr>
          <w:sz w:val="20"/>
        </w:rPr>
        <w:t>object.</w:t>
      </w: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line="244" w:lineRule="exact"/>
        <w:ind w:left="836" w:hanging="361"/>
        <w:rPr>
          <w:sz w:val="20"/>
        </w:rPr>
      </w:pPr>
      <w:r>
        <w:rPr>
          <w:sz w:val="20"/>
        </w:rPr>
        <w:t>Proceedings is not printed in color; please adjust tables and figu</w:t>
      </w:r>
      <w:r>
        <w:rPr>
          <w:sz w:val="20"/>
        </w:rPr>
        <w:t>res to</w:t>
      </w:r>
      <w:r>
        <w:rPr>
          <w:spacing w:val="-10"/>
          <w:sz w:val="20"/>
        </w:rPr>
        <w:t xml:space="preserve"> </w:t>
      </w:r>
      <w:r>
        <w:rPr>
          <w:sz w:val="20"/>
        </w:rPr>
        <w:t>it.</w:t>
      </w: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line="244" w:lineRule="exact"/>
        <w:ind w:left="836" w:hanging="361"/>
        <w:rPr>
          <w:sz w:val="20"/>
        </w:rPr>
      </w:pPr>
      <w:r>
        <w:rPr>
          <w:sz w:val="20"/>
        </w:rPr>
        <w:t>Large</w:t>
      </w:r>
      <w:r>
        <w:rPr>
          <w:spacing w:val="-3"/>
          <w:sz w:val="20"/>
        </w:rPr>
        <w:t xml:space="preserve"> </w:t>
      </w:r>
      <w:r>
        <w:rPr>
          <w:sz w:val="20"/>
        </w:rPr>
        <w:t>tables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figures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placed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separate</w:t>
      </w:r>
      <w:r>
        <w:rPr>
          <w:spacing w:val="-3"/>
          <w:sz w:val="20"/>
        </w:rPr>
        <w:t xml:space="preserve"> </w:t>
      </w:r>
      <w:r>
        <w:rPr>
          <w:sz w:val="20"/>
        </w:rPr>
        <w:t>page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1"/>
          <w:sz w:val="20"/>
        </w:rPr>
        <w:t xml:space="preserve"> </w:t>
      </w:r>
      <w:r>
        <w:rPr>
          <w:sz w:val="20"/>
        </w:rPr>
        <w:t>landscape</w:t>
      </w:r>
      <w:r>
        <w:rPr>
          <w:spacing w:val="-5"/>
          <w:sz w:val="20"/>
        </w:rPr>
        <w:t xml:space="preserve"> </w:t>
      </w:r>
      <w:r>
        <w:rPr>
          <w:sz w:val="20"/>
        </w:rPr>
        <w:t>instead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portrait</w:t>
      </w:r>
      <w:r>
        <w:rPr>
          <w:spacing w:val="-2"/>
          <w:sz w:val="20"/>
        </w:rPr>
        <w:t xml:space="preserve"> </w:t>
      </w:r>
      <w:r>
        <w:rPr>
          <w:sz w:val="20"/>
        </w:rPr>
        <w:t>layout.</w:t>
      </w: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line="244" w:lineRule="exact"/>
        <w:ind w:left="836" w:hanging="361"/>
        <w:rPr>
          <w:sz w:val="20"/>
        </w:rPr>
      </w:pPr>
      <w:r>
        <w:rPr>
          <w:sz w:val="20"/>
        </w:rPr>
        <w:t>Tables and figures should always be cited in text in consecutive numerical</w:t>
      </w:r>
      <w:r>
        <w:rPr>
          <w:spacing w:val="-12"/>
          <w:sz w:val="20"/>
        </w:rPr>
        <w:t xml:space="preserve"> </w:t>
      </w:r>
      <w:r>
        <w:rPr>
          <w:sz w:val="20"/>
        </w:rPr>
        <w:t>order.</w:t>
      </w: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ind w:left="836" w:right="628"/>
        <w:rPr>
          <w:sz w:val="20"/>
        </w:rPr>
      </w:pPr>
      <w:r>
        <w:rPr>
          <w:sz w:val="20"/>
        </w:rPr>
        <w:t>Identify any previously published material by giving the original source in the form of a reference beneath the table</w:t>
      </w:r>
      <w:r>
        <w:rPr>
          <w:spacing w:val="-1"/>
          <w:sz w:val="20"/>
        </w:rPr>
        <w:t xml:space="preserve"> </w:t>
      </w:r>
      <w:r>
        <w:rPr>
          <w:sz w:val="20"/>
        </w:rPr>
        <w:t>body.</w:t>
      </w: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ind w:left="836" w:right="589"/>
        <w:rPr>
          <w:sz w:val="20"/>
        </w:rPr>
      </w:pPr>
      <w:r>
        <w:rPr>
          <w:sz w:val="20"/>
        </w:rPr>
        <w:t>Footnotes to tables or figures should be indicated by superscript lower-case letters (or asterisks for significance values and other statistical data) and included beneath the table</w:t>
      </w:r>
      <w:r>
        <w:rPr>
          <w:spacing w:val="-12"/>
          <w:sz w:val="20"/>
        </w:rPr>
        <w:t xml:space="preserve"> </w:t>
      </w:r>
      <w:r>
        <w:rPr>
          <w:sz w:val="20"/>
        </w:rPr>
        <w:t>body.</w:t>
      </w:r>
    </w:p>
    <w:p w:rsidR="00D572A0" w:rsidRDefault="00D572A0">
      <w:pPr>
        <w:pStyle w:val="Zkladntext"/>
        <w:spacing w:before="5"/>
        <w:rPr>
          <w:sz w:val="24"/>
        </w:rPr>
      </w:pPr>
    </w:p>
    <w:p w:rsidR="00D572A0" w:rsidRDefault="00620763">
      <w:pPr>
        <w:pStyle w:val="Nadpis1"/>
        <w:ind w:left="116"/>
      </w:pPr>
      <w:r>
        <w:t>Citation</w:t>
      </w:r>
    </w:p>
    <w:p w:rsidR="00D572A0" w:rsidRDefault="00D572A0">
      <w:pPr>
        <w:pStyle w:val="Zkladntext"/>
        <w:spacing w:before="1"/>
        <w:rPr>
          <w:b/>
          <w:sz w:val="24"/>
        </w:rPr>
      </w:pP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1"/>
        <w:ind w:left="836" w:hanging="361"/>
        <w:rPr>
          <w:sz w:val="20"/>
        </w:rPr>
      </w:pPr>
      <w:r>
        <w:rPr>
          <w:sz w:val="20"/>
        </w:rPr>
        <w:t>Cite references in the text by name and year in</w:t>
      </w:r>
      <w:r>
        <w:rPr>
          <w:spacing w:val="-8"/>
          <w:sz w:val="20"/>
        </w:rPr>
        <w:t xml:space="preserve"> </w:t>
      </w:r>
      <w:r>
        <w:rPr>
          <w:sz w:val="20"/>
        </w:rPr>
        <w:t>parentheses.</w:t>
      </w: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ind w:left="836" w:hanging="361"/>
        <w:rPr>
          <w:sz w:val="20"/>
        </w:rPr>
      </w:pPr>
      <w:r>
        <w:rPr>
          <w:sz w:val="20"/>
        </w:rPr>
        <w:t>Citation should be consistent with the list of</w:t>
      </w:r>
      <w:r>
        <w:rPr>
          <w:spacing w:val="-10"/>
          <w:sz w:val="20"/>
        </w:rPr>
        <w:t xml:space="preserve"> </w:t>
      </w:r>
      <w:r>
        <w:rPr>
          <w:sz w:val="20"/>
        </w:rPr>
        <w:t>references.</w:t>
      </w:r>
    </w:p>
    <w:p w:rsidR="00D572A0" w:rsidRDefault="00D572A0">
      <w:pPr>
        <w:pStyle w:val="Zkladntext"/>
        <w:spacing w:before="3"/>
        <w:rPr>
          <w:sz w:val="24"/>
        </w:rPr>
      </w:pPr>
    </w:p>
    <w:p w:rsidR="00D572A0" w:rsidRDefault="00620763">
      <w:pPr>
        <w:pStyle w:val="Zkladntext"/>
        <w:ind w:left="116"/>
      </w:pPr>
      <w:r>
        <w:t>Please, see some examples:</w:t>
      </w:r>
    </w:p>
    <w:p w:rsidR="00D572A0" w:rsidRDefault="00D572A0">
      <w:pPr>
        <w:pStyle w:val="Zkladntext"/>
        <w:spacing w:before="4"/>
        <w:rPr>
          <w:sz w:val="24"/>
        </w:rPr>
      </w:pPr>
    </w:p>
    <w:p w:rsidR="00D572A0" w:rsidRDefault="00620763">
      <w:pPr>
        <w:pStyle w:val="Zkladntext"/>
        <w:ind w:left="116"/>
      </w:pPr>
      <w:r>
        <w:t>In particular, Samuels</w:t>
      </w:r>
      <w:r>
        <w:t>on’s famous two papers (1954, 1955)……</w:t>
      </w:r>
    </w:p>
    <w:p w:rsidR="00D572A0" w:rsidRDefault="00D572A0">
      <w:pPr>
        <w:pStyle w:val="Zkladntext"/>
        <w:spacing w:before="4"/>
        <w:rPr>
          <w:sz w:val="24"/>
        </w:rPr>
      </w:pPr>
    </w:p>
    <w:p w:rsidR="00D572A0" w:rsidRDefault="00620763">
      <w:pPr>
        <w:pStyle w:val="Zkladntext"/>
        <w:ind w:left="116" w:right="370"/>
      </w:pPr>
      <w:r>
        <w:t>A key point is that the extensive application of non-benefit taxes on mobile factors at decentralized levels of government can result in distortions in the location and levels of economic activity (Gordon, 1983; Inman</w:t>
      </w:r>
      <w:r>
        <w:t xml:space="preserve"> and Rubinfeld, 1996).</w:t>
      </w:r>
    </w:p>
    <w:p w:rsidR="00D572A0" w:rsidRDefault="00D572A0">
      <w:pPr>
        <w:pStyle w:val="Zkladntext"/>
        <w:spacing w:before="4"/>
        <w:rPr>
          <w:sz w:val="24"/>
        </w:rPr>
      </w:pPr>
    </w:p>
    <w:p w:rsidR="00D572A0" w:rsidRDefault="00620763">
      <w:pPr>
        <w:pStyle w:val="Zkladntext"/>
        <w:ind w:left="116" w:right="371"/>
      </w:pPr>
      <w:r>
        <w:t>In fact, it is straightforward to show that economic efficiency generally requires the benefit taxation of mobile economic units (Oates and Schwab, 1988, 1991; Oates, 1996).</w:t>
      </w:r>
    </w:p>
    <w:p w:rsidR="00D572A0" w:rsidRDefault="00D572A0">
      <w:pPr>
        <w:pStyle w:val="Zkladntext"/>
        <w:spacing w:before="4"/>
        <w:rPr>
          <w:sz w:val="24"/>
        </w:rPr>
      </w:pPr>
    </w:p>
    <w:p w:rsidR="00D572A0" w:rsidRDefault="00620763">
      <w:pPr>
        <w:pStyle w:val="Zkladntext"/>
        <w:ind w:left="116" w:right="299"/>
      </w:pPr>
      <w:r>
        <w:t>For example Mundell (1968) argues that an optimal currency area may be smaller th</w:t>
      </w:r>
      <w:r>
        <w:t>an the nation state in some federations such as Canada and USA….</w:t>
      </w:r>
    </w:p>
    <w:p w:rsidR="00D572A0" w:rsidRDefault="00D572A0">
      <w:pPr>
        <w:pStyle w:val="Zkladntext"/>
        <w:spacing w:before="3"/>
        <w:rPr>
          <w:sz w:val="24"/>
        </w:rPr>
      </w:pPr>
    </w:p>
    <w:p w:rsidR="00D572A0" w:rsidRDefault="00620763">
      <w:pPr>
        <w:pStyle w:val="Zkladntext"/>
        <w:spacing w:before="1"/>
        <w:ind w:left="116" w:right="299"/>
      </w:pPr>
      <w:r>
        <w:t>Barro (1996) considers the focus on price stability so vital that he regards an ideal central banker as one who is not necessarily a good macro economist but one whose commitment to price st</w:t>
      </w:r>
      <w:r>
        <w:t>ability is unshakable. He said,</w:t>
      </w:r>
    </w:p>
    <w:p w:rsidR="00D572A0" w:rsidRDefault="00D572A0">
      <w:pPr>
        <w:sectPr w:rsidR="00D572A0">
          <w:headerReference w:type="default" r:id="rId9"/>
          <w:pgSz w:w="11910" w:h="16840"/>
          <w:pgMar w:top="1320" w:right="1300" w:bottom="280" w:left="1300" w:header="688" w:footer="0" w:gutter="0"/>
          <w:cols w:space="708"/>
        </w:sectPr>
      </w:pPr>
    </w:p>
    <w:p w:rsidR="00D572A0" w:rsidRDefault="00620763">
      <w:pPr>
        <w:pStyle w:val="Zkladntext"/>
        <w:spacing w:before="90"/>
        <w:ind w:left="117" w:right="187"/>
      </w:pPr>
      <w:r>
        <w:lastRenderedPageBreak/>
        <w:t>“The ideal central banker should always appear somber in public, never tell any jokes, and complain continually about the dangers of inflation” (</w:t>
      </w:r>
      <w:r>
        <w:t>1996, p. 58).</w:t>
      </w:r>
    </w:p>
    <w:p w:rsidR="00D572A0" w:rsidRDefault="00D572A0">
      <w:pPr>
        <w:pStyle w:val="Zkladntext"/>
        <w:spacing w:before="6"/>
        <w:rPr>
          <w:sz w:val="24"/>
        </w:rPr>
      </w:pPr>
    </w:p>
    <w:p w:rsidR="00D572A0" w:rsidRDefault="00620763">
      <w:pPr>
        <w:pStyle w:val="Nadpis1"/>
      </w:pPr>
      <w:r>
        <w:t>Acknowledgments</w:t>
      </w:r>
    </w:p>
    <w:p w:rsidR="00D572A0" w:rsidRDefault="00D572A0">
      <w:pPr>
        <w:pStyle w:val="Zkladntext"/>
        <w:spacing w:before="1"/>
        <w:rPr>
          <w:b/>
          <w:sz w:val="24"/>
        </w:rPr>
      </w:pPr>
    </w:p>
    <w:p w:rsidR="00D572A0" w:rsidRDefault="00620763">
      <w:pPr>
        <w:pStyle w:val="Zkladntext"/>
        <w:ind w:left="117"/>
      </w:pPr>
      <w:r>
        <w:t>Acknowledgments of grants, funds, etc. should be located separately in a section before the reference list.</w:t>
      </w:r>
    </w:p>
    <w:p w:rsidR="00D572A0" w:rsidRDefault="00D572A0">
      <w:pPr>
        <w:pStyle w:val="Zkladntext"/>
        <w:spacing w:before="7"/>
        <w:rPr>
          <w:sz w:val="24"/>
        </w:rPr>
      </w:pPr>
    </w:p>
    <w:p w:rsidR="00D572A0" w:rsidRDefault="00620763">
      <w:pPr>
        <w:pStyle w:val="Nadpis1"/>
      </w:pPr>
      <w:r>
        <w:t>Reference list</w:t>
      </w:r>
    </w:p>
    <w:p w:rsidR="00D572A0" w:rsidRDefault="00D572A0">
      <w:pPr>
        <w:pStyle w:val="Zkladntext"/>
        <w:spacing w:before="1"/>
        <w:rPr>
          <w:b/>
          <w:sz w:val="24"/>
        </w:rPr>
      </w:pP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6"/>
          <w:tab w:val="left" w:pos="838"/>
        </w:tabs>
        <w:spacing w:before="1"/>
        <w:ind w:hanging="361"/>
        <w:rPr>
          <w:sz w:val="20"/>
        </w:rPr>
      </w:pPr>
      <w:r>
        <w:rPr>
          <w:sz w:val="20"/>
        </w:rPr>
        <w:t>The list of references should only include sources that are cited in the</w:t>
      </w:r>
      <w:r>
        <w:rPr>
          <w:spacing w:val="-14"/>
          <w:sz w:val="20"/>
        </w:rPr>
        <w:t xml:space="preserve"> </w:t>
      </w:r>
      <w:r>
        <w:rPr>
          <w:sz w:val="20"/>
        </w:rPr>
        <w:t>text.</w:t>
      </w: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6"/>
          <w:tab w:val="left" w:pos="838"/>
        </w:tabs>
        <w:ind w:hanging="361"/>
        <w:rPr>
          <w:sz w:val="20"/>
        </w:rPr>
      </w:pPr>
      <w:r>
        <w:rPr>
          <w:sz w:val="20"/>
        </w:rPr>
        <w:t>Do not use footnotes or endnotes as a substitute for a reference</w:t>
      </w:r>
      <w:r>
        <w:rPr>
          <w:spacing w:val="-12"/>
          <w:sz w:val="20"/>
        </w:rPr>
        <w:t xml:space="preserve"> </w:t>
      </w:r>
      <w:r>
        <w:rPr>
          <w:sz w:val="20"/>
        </w:rPr>
        <w:t>list.</w:t>
      </w: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6"/>
          <w:tab w:val="left" w:pos="838"/>
        </w:tabs>
        <w:spacing w:line="244" w:lineRule="exact"/>
        <w:ind w:hanging="361"/>
        <w:rPr>
          <w:sz w:val="20"/>
        </w:rPr>
      </w:pPr>
      <w:r>
        <w:rPr>
          <w:sz w:val="20"/>
        </w:rPr>
        <w:t>Journal names and book titles should be</w:t>
      </w:r>
      <w:r>
        <w:rPr>
          <w:spacing w:val="-6"/>
          <w:sz w:val="20"/>
        </w:rPr>
        <w:t xml:space="preserve"> </w:t>
      </w:r>
      <w:r>
        <w:rPr>
          <w:sz w:val="20"/>
        </w:rPr>
        <w:t>italicized.</w:t>
      </w: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6"/>
          <w:tab w:val="left" w:pos="838"/>
        </w:tabs>
        <w:ind w:right="299"/>
        <w:rPr>
          <w:sz w:val="20"/>
        </w:rPr>
      </w:pPr>
      <w:r>
        <w:rPr>
          <w:sz w:val="20"/>
        </w:rPr>
        <w:t xml:space="preserve">The list of references should only include works that </w:t>
      </w:r>
      <w:r>
        <w:rPr>
          <w:sz w:val="20"/>
        </w:rPr>
        <w:t>are cited in the text and that have been published or accepted for</w:t>
      </w:r>
      <w:r>
        <w:rPr>
          <w:spacing w:val="-2"/>
          <w:sz w:val="20"/>
        </w:rPr>
        <w:t xml:space="preserve"> </w:t>
      </w:r>
      <w:r>
        <w:rPr>
          <w:sz w:val="20"/>
        </w:rPr>
        <w:t>publication.</w:t>
      </w: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6"/>
          <w:tab w:val="left" w:pos="838"/>
        </w:tabs>
        <w:spacing w:line="244" w:lineRule="exact"/>
        <w:ind w:hanging="361"/>
        <w:rPr>
          <w:sz w:val="20"/>
        </w:rPr>
      </w:pPr>
      <w:r>
        <w:rPr>
          <w:sz w:val="20"/>
        </w:rPr>
        <w:t>Personal communications and unpublished works should only be mentioned in the</w:t>
      </w:r>
      <w:r>
        <w:rPr>
          <w:spacing w:val="-15"/>
          <w:sz w:val="20"/>
        </w:rPr>
        <w:t xml:space="preserve"> </w:t>
      </w:r>
      <w:r>
        <w:rPr>
          <w:sz w:val="20"/>
        </w:rPr>
        <w:t>text.</w:t>
      </w: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6"/>
          <w:tab w:val="left" w:pos="838"/>
        </w:tabs>
        <w:spacing w:line="244" w:lineRule="exact"/>
        <w:ind w:hanging="361"/>
        <w:rPr>
          <w:sz w:val="20"/>
        </w:rPr>
      </w:pPr>
      <w:r>
        <w:rPr>
          <w:sz w:val="20"/>
        </w:rPr>
        <w:t>Reference list should be sorted alphabetically by the last names of the first author of each</w:t>
      </w:r>
      <w:r>
        <w:rPr>
          <w:spacing w:val="-33"/>
          <w:sz w:val="20"/>
        </w:rPr>
        <w:t xml:space="preserve"> </w:t>
      </w:r>
      <w:r>
        <w:rPr>
          <w:sz w:val="20"/>
        </w:rPr>
        <w:t>entry.</w:t>
      </w:r>
    </w:p>
    <w:p w:rsidR="00D572A0" w:rsidRPr="002F4D14" w:rsidRDefault="00620763" w:rsidP="002F4D14">
      <w:pPr>
        <w:pStyle w:val="Odstavecseseznamem"/>
        <w:numPr>
          <w:ilvl w:val="0"/>
          <w:numId w:val="1"/>
        </w:numPr>
        <w:tabs>
          <w:tab w:val="left" w:pos="836"/>
          <w:tab w:val="left" w:pos="838"/>
        </w:tabs>
        <w:spacing w:before="4"/>
        <w:ind w:right="278"/>
        <w:rPr>
          <w:sz w:val="24"/>
        </w:rPr>
      </w:pPr>
      <w:r>
        <w:rPr>
          <w:sz w:val="20"/>
        </w:rPr>
        <w:t>References have to be entered in the language of the cited work</w:t>
      </w:r>
      <w:r w:rsidR="002F4D14">
        <w:rPr>
          <w:sz w:val="20"/>
        </w:rPr>
        <w:t>.</w:t>
      </w:r>
    </w:p>
    <w:p w:rsidR="00D572A0" w:rsidRDefault="00620763">
      <w:pPr>
        <w:pStyle w:val="Nadpis1"/>
        <w:ind w:left="116"/>
      </w:pPr>
      <w:r>
        <w:t>R</w:t>
      </w:r>
      <w:r>
        <w:t>eferencing style</w:t>
      </w:r>
    </w:p>
    <w:p w:rsidR="00D572A0" w:rsidRDefault="00D572A0">
      <w:pPr>
        <w:pStyle w:val="Zkladntext"/>
        <w:spacing w:before="2"/>
        <w:rPr>
          <w:b/>
          <w:sz w:val="24"/>
        </w:rPr>
      </w:pP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ind w:left="836" w:hanging="361"/>
        <w:rPr>
          <w:sz w:val="20"/>
        </w:rPr>
      </w:pPr>
      <w:r>
        <w:rPr>
          <w:sz w:val="20"/>
        </w:rPr>
        <w:t>Referencing uses the APA 6th</w:t>
      </w:r>
      <w:r>
        <w:rPr>
          <w:spacing w:val="-14"/>
          <w:sz w:val="20"/>
        </w:rPr>
        <w:t xml:space="preserve"> </w:t>
      </w:r>
      <w:r>
        <w:rPr>
          <w:sz w:val="20"/>
        </w:rPr>
        <w:t>style.</w:t>
      </w:r>
    </w:p>
    <w:p w:rsidR="00D572A0" w:rsidRDefault="00620763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ind w:left="836" w:right="241"/>
        <w:rPr>
          <w:sz w:val="20"/>
        </w:rPr>
      </w:pPr>
      <w:r>
        <w:rPr>
          <w:sz w:val="20"/>
        </w:rPr>
        <w:t>For authors the End Note output style that su</w:t>
      </w:r>
      <w:r>
        <w:rPr>
          <w:sz w:val="20"/>
        </w:rPr>
        <w:t>pports the formatting of in-text citations and reference list is provided on journal web</w:t>
      </w:r>
      <w:r>
        <w:rPr>
          <w:spacing w:val="-7"/>
          <w:sz w:val="20"/>
        </w:rPr>
        <w:t xml:space="preserve"> </w:t>
      </w:r>
      <w:r>
        <w:rPr>
          <w:sz w:val="20"/>
        </w:rPr>
        <w:t>page.</w:t>
      </w:r>
    </w:p>
    <w:p w:rsidR="00D572A0" w:rsidRDefault="00D572A0">
      <w:pPr>
        <w:pStyle w:val="Zkladntext"/>
        <w:spacing w:before="3"/>
        <w:rPr>
          <w:sz w:val="24"/>
        </w:rPr>
      </w:pPr>
    </w:p>
    <w:p w:rsidR="00D572A0" w:rsidRDefault="00620763">
      <w:pPr>
        <w:pStyle w:val="Nadpis1"/>
        <w:spacing w:before="1"/>
        <w:ind w:left="116"/>
        <w:rPr>
          <w:b w:val="0"/>
        </w:rPr>
      </w:pPr>
      <w:r>
        <w:t>Please, see some examples of referencing</w:t>
      </w:r>
      <w:r>
        <w:rPr>
          <w:b w:val="0"/>
        </w:rPr>
        <w:t>:</w:t>
      </w:r>
    </w:p>
    <w:p w:rsidR="00D572A0" w:rsidRDefault="00D572A0">
      <w:pPr>
        <w:pStyle w:val="Zkladntext"/>
        <w:spacing w:before="4"/>
        <w:rPr>
          <w:sz w:val="24"/>
        </w:rPr>
      </w:pPr>
    </w:p>
    <w:p w:rsidR="00D572A0" w:rsidRDefault="00620763">
      <w:pPr>
        <w:ind w:left="116"/>
        <w:rPr>
          <w:sz w:val="20"/>
        </w:rPr>
      </w:pPr>
      <w:r>
        <w:rPr>
          <w:i/>
          <w:sz w:val="20"/>
        </w:rPr>
        <w:t>Journal article</w:t>
      </w:r>
      <w:r>
        <w:rPr>
          <w:sz w:val="20"/>
        </w:rPr>
        <w:t>:</w:t>
      </w:r>
    </w:p>
    <w:p w:rsidR="00D572A0" w:rsidRDefault="00D572A0">
      <w:pPr>
        <w:pStyle w:val="Zkladntext"/>
        <w:spacing w:before="4"/>
        <w:rPr>
          <w:sz w:val="24"/>
        </w:rPr>
      </w:pPr>
    </w:p>
    <w:p w:rsidR="00D572A0" w:rsidRDefault="00620763">
      <w:pPr>
        <w:pStyle w:val="Zkladntext"/>
        <w:spacing w:line="230" w:lineRule="exact"/>
        <w:ind w:left="116"/>
      </w:pPr>
      <w:r>
        <w:t>Besley, T., &amp; Case, A. (1995). Incumbent Behavior: Vote-Seeking, Tax-Setting, and Yardstick Competition.</w:t>
      </w:r>
    </w:p>
    <w:p w:rsidR="00D572A0" w:rsidRDefault="00620763">
      <w:pPr>
        <w:spacing w:line="230" w:lineRule="exact"/>
        <w:ind w:left="116"/>
        <w:rPr>
          <w:sz w:val="20"/>
        </w:rPr>
      </w:pPr>
      <w:r>
        <w:rPr>
          <w:i/>
          <w:sz w:val="20"/>
        </w:rPr>
        <w:t>American Economic Review</w:t>
      </w:r>
      <w:r>
        <w:rPr>
          <w:sz w:val="20"/>
        </w:rPr>
        <w:t>, 85(1), 25-45.</w:t>
      </w:r>
    </w:p>
    <w:p w:rsidR="00D572A0" w:rsidRDefault="00D572A0">
      <w:pPr>
        <w:pStyle w:val="Zkladntext"/>
        <w:spacing w:before="4"/>
        <w:rPr>
          <w:sz w:val="24"/>
        </w:rPr>
      </w:pPr>
    </w:p>
    <w:p w:rsidR="00D572A0" w:rsidRDefault="00620763">
      <w:pPr>
        <w:ind w:left="116" w:right="264"/>
        <w:rPr>
          <w:sz w:val="20"/>
        </w:rPr>
      </w:pPr>
      <w:r>
        <w:rPr>
          <w:sz w:val="20"/>
        </w:rPr>
        <w:t xml:space="preserve">Samuelson, P. A. (1954). The Pure Theory of Public Expenditure. </w:t>
      </w:r>
      <w:r>
        <w:rPr>
          <w:i/>
          <w:sz w:val="20"/>
        </w:rPr>
        <w:t xml:space="preserve">Review of Economics and Statistics </w:t>
      </w:r>
      <w:r>
        <w:rPr>
          <w:sz w:val="20"/>
        </w:rPr>
        <w:t>36, 387– 38</w:t>
      </w:r>
      <w:r>
        <w:rPr>
          <w:sz w:val="20"/>
        </w:rPr>
        <w:t>9.</w:t>
      </w:r>
    </w:p>
    <w:p w:rsidR="00D572A0" w:rsidRDefault="00D572A0">
      <w:pPr>
        <w:pStyle w:val="Zkladntext"/>
        <w:spacing w:before="4"/>
        <w:rPr>
          <w:sz w:val="24"/>
        </w:rPr>
      </w:pPr>
    </w:p>
    <w:p w:rsidR="00D572A0" w:rsidRDefault="00620763">
      <w:pPr>
        <w:ind w:left="116" w:right="448"/>
        <w:rPr>
          <w:sz w:val="20"/>
        </w:rPr>
      </w:pPr>
      <w:r>
        <w:rPr>
          <w:sz w:val="20"/>
        </w:rPr>
        <w:t xml:space="preserve">Samuelson, P. A. (1955). Diagrammatic Exposition of a Theory of Public Expenditure. </w:t>
      </w:r>
      <w:r>
        <w:rPr>
          <w:i/>
          <w:sz w:val="20"/>
        </w:rPr>
        <w:t xml:space="preserve">Review of Economics and Statistics </w:t>
      </w:r>
      <w:r>
        <w:rPr>
          <w:sz w:val="20"/>
        </w:rPr>
        <w:t>37, 350–356.</w:t>
      </w:r>
    </w:p>
    <w:p w:rsidR="00D572A0" w:rsidRDefault="00D572A0">
      <w:pPr>
        <w:pStyle w:val="Zkladntext"/>
        <w:spacing w:before="4"/>
        <w:rPr>
          <w:sz w:val="24"/>
        </w:rPr>
      </w:pPr>
    </w:p>
    <w:p w:rsidR="00D572A0" w:rsidRDefault="00620763">
      <w:pPr>
        <w:pStyle w:val="Zkladntext"/>
        <w:ind w:left="116"/>
      </w:pPr>
      <w:r>
        <w:t>Zax, J. S., Forbes, K. F., Zampelli, E. M., &amp; Oates, W. E. (1989). Is There A Leviathan In Your Neighborhood?</w:t>
      </w:r>
    </w:p>
    <w:p w:rsidR="00D572A0" w:rsidRDefault="00620763">
      <w:pPr>
        <w:ind w:left="116"/>
        <w:rPr>
          <w:sz w:val="20"/>
        </w:rPr>
      </w:pPr>
      <w:r>
        <w:rPr>
          <w:i/>
          <w:sz w:val="20"/>
        </w:rPr>
        <w:t>The American Economic Review</w:t>
      </w:r>
      <w:r>
        <w:rPr>
          <w:sz w:val="20"/>
        </w:rPr>
        <w:t>, 79(3), 560.</w:t>
      </w:r>
    </w:p>
    <w:p w:rsidR="00D572A0" w:rsidRDefault="00D572A0">
      <w:pPr>
        <w:pStyle w:val="Zkladntext"/>
        <w:spacing w:before="4"/>
        <w:rPr>
          <w:sz w:val="24"/>
        </w:rPr>
      </w:pPr>
    </w:p>
    <w:p w:rsidR="00D572A0" w:rsidRDefault="00620763">
      <w:pPr>
        <w:ind w:left="116"/>
        <w:rPr>
          <w:sz w:val="20"/>
        </w:rPr>
      </w:pPr>
      <w:r>
        <w:rPr>
          <w:i/>
          <w:sz w:val="20"/>
        </w:rPr>
        <w:t>Article by DOI</w:t>
      </w:r>
      <w:r>
        <w:rPr>
          <w:sz w:val="20"/>
        </w:rPr>
        <w:t>:</w:t>
      </w:r>
    </w:p>
    <w:p w:rsidR="00D572A0" w:rsidRDefault="00D572A0">
      <w:pPr>
        <w:pStyle w:val="Zkladntext"/>
        <w:spacing w:before="4"/>
        <w:rPr>
          <w:sz w:val="24"/>
        </w:rPr>
      </w:pPr>
    </w:p>
    <w:p w:rsidR="00D572A0" w:rsidRDefault="00620763">
      <w:pPr>
        <w:pStyle w:val="Zkladntext"/>
        <w:ind w:left="116"/>
      </w:pPr>
      <w:r>
        <w:t>Alessandrini, P., Presbitero, A. F., &amp; Zazzaro, A. (2009). Banks, Distances and Firms' Financing Constraints.</w:t>
      </w:r>
    </w:p>
    <w:p w:rsidR="00D572A0" w:rsidRDefault="00620763">
      <w:pPr>
        <w:spacing w:before="1"/>
        <w:ind w:left="116"/>
        <w:rPr>
          <w:sz w:val="20"/>
        </w:rPr>
      </w:pPr>
      <w:r>
        <w:rPr>
          <w:i/>
          <w:sz w:val="20"/>
        </w:rPr>
        <w:t>Review of Finance</w:t>
      </w:r>
      <w:r>
        <w:rPr>
          <w:sz w:val="20"/>
        </w:rPr>
        <w:t>, 13(2), 261-307. doi: 10.1093/rof/rfn010</w:t>
      </w:r>
    </w:p>
    <w:p w:rsidR="00D572A0" w:rsidRDefault="00D572A0">
      <w:pPr>
        <w:pStyle w:val="Zkladntext"/>
        <w:spacing w:before="4"/>
        <w:rPr>
          <w:sz w:val="24"/>
        </w:rPr>
      </w:pPr>
    </w:p>
    <w:p w:rsidR="00D572A0" w:rsidRDefault="00620763">
      <w:pPr>
        <w:pStyle w:val="Zkladntext"/>
        <w:ind w:left="116" w:right="297"/>
      </w:pPr>
      <w:r>
        <w:t>Smith, K. A., &amp; Valderrama</w:t>
      </w:r>
      <w:r>
        <w:t xml:space="preserve">, D. (2009). The composition of capital inflows when emerging market firms face financing constraints. </w:t>
      </w:r>
      <w:r>
        <w:rPr>
          <w:i/>
        </w:rPr>
        <w:t>Journal of Development Economics</w:t>
      </w:r>
      <w:r>
        <w:t>, 89(2), 223-234. doi: 10.1016/j.jdeveco.2008.05.003</w:t>
      </w:r>
    </w:p>
    <w:p w:rsidR="00D572A0" w:rsidRDefault="00D572A0">
      <w:pPr>
        <w:pStyle w:val="Zkladntext"/>
        <w:spacing w:before="3"/>
        <w:rPr>
          <w:sz w:val="24"/>
        </w:rPr>
      </w:pPr>
    </w:p>
    <w:p w:rsidR="00D572A0" w:rsidRDefault="00620763">
      <w:pPr>
        <w:ind w:left="116"/>
        <w:rPr>
          <w:sz w:val="20"/>
        </w:rPr>
      </w:pPr>
      <w:r>
        <w:rPr>
          <w:i/>
          <w:sz w:val="20"/>
        </w:rPr>
        <w:t>Book</w:t>
      </w:r>
      <w:r>
        <w:rPr>
          <w:sz w:val="20"/>
        </w:rPr>
        <w:t>:</w:t>
      </w:r>
    </w:p>
    <w:p w:rsidR="00D572A0" w:rsidRDefault="00D572A0">
      <w:pPr>
        <w:pStyle w:val="Zkladntext"/>
        <w:spacing w:before="4"/>
        <w:rPr>
          <w:sz w:val="24"/>
        </w:rPr>
      </w:pPr>
    </w:p>
    <w:p w:rsidR="00D572A0" w:rsidRDefault="00620763">
      <w:pPr>
        <w:ind w:left="116"/>
        <w:rPr>
          <w:sz w:val="20"/>
        </w:rPr>
      </w:pPr>
      <w:r>
        <w:rPr>
          <w:sz w:val="20"/>
        </w:rPr>
        <w:t xml:space="preserve">Barro, R. J. (1996). </w:t>
      </w:r>
      <w:r>
        <w:rPr>
          <w:i/>
          <w:sz w:val="20"/>
        </w:rPr>
        <w:t>Getting it right: markets and choices in a free society</w:t>
      </w:r>
      <w:r>
        <w:rPr>
          <w:sz w:val="20"/>
        </w:rPr>
        <w:t>. Cambridge, MA: MIT Press.</w:t>
      </w:r>
    </w:p>
    <w:p w:rsidR="00D572A0" w:rsidRDefault="00D572A0">
      <w:pPr>
        <w:pStyle w:val="Zkladntext"/>
        <w:spacing w:before="4"/>
        <w:rPr>
          <w:sz w:val="24"/>
        </w:rPr>
      </w:pPr>
    </w:p>
    <w:p w:rsidR="00D572A0" w:rsidRDefault="00620763">
      <w:pPr>
        <w:ind w:left="116" w:right="353"/>
        <w:rPr>
          <w:sz w:val="20"/>
        </w:rPr>
      </w:pPr>
      <w:r>
        <w:rPr>
          <w:sz w:val="20"/>
        </w:rPr>
        <w:t xml:space="preserve">Boadway, R., &amp; Shah, A. (2009). </w:t>
      </w:r>
      <w:r>
        <w:rPr>
          <w:i/>
          <w:sz w:val="20"/>
        </w:rPr>
        <w:t>Fiscal Federalism. Principles and Practice of Multiorder Governance</w:t>
      </w:r>
      <w:r>
        <w:rPr>
          <w:sz w:val="20"/>
        </w:rPr>
        <w:t>. New York: Cambrige University Press.</w:t>
      </w:r>
    </w:p>
    <w:p w:rsidR="00D572A0" w:rsidRDefault="00D572A0">
      <w:pPr>
        <w:rPr>
          <w:sz w:val="20"/>
        </w:rPr>
        <w:sectPr w:rsidR="00D572A0">
          <w:pgSz w:w="11910" w:h="16840"/>
          <w:pgMar w:top="1320" w:right="1300" w:bottom="280" w:left="1300" w:header="688" w:footer="0" w:gutter="0"/>
          <w:cols w:space="708"/>
        </w:sectPr>
      </w:pPr>
    </w:p>
    <w:p w:rsidR="00D572A0" w:rsidRDefault="00620763">
      <w:pPr>
        <w:spacing w:before="90"/>
        <w:ind w:left="117"/>
        <w:rPr>
          <w:sz w:val="20"/>
        </w:rPr>
      </w:pPr>
      <w:r>
        <w:rPr>
          <w:sz w:val="20"/>
        </w:rPr>
        <w:lastRenderedPageBreak/>
        <w:t>Mundell, R. A. (</w:t>
      </w:r>
      <w:r>
        <w:rPr>
          <w:sz w:val="20"/>
        </w:rPr>
        <w:t xml:space="preserve">1968). </w:t>
      </w:r>
      <w:r>
        <w:rPr>
          <w:i/>
          <w:sz w:val="20"/>
        </w:rPr>
        <w:t>International economics</w:t>
      </w:r>
      <w:r>
        <w:rPr>
          <w:sz w:val="20"/>
        </w:rPr>
        <w:t>. New York : Macmillan.</w:t>
      </w:r>
    </w:p>
    <w:p w:rsidR="00D572A0" w:rsidRDefault="00D572A0">
      <w:pPr>
        <w:pStyle w:val="Zkladntext"/>
        <w:spacing w:before="4"/>
        <w:rPr>
          <w:sz w:val="24"/>
        </w:rPr>
      </w:pPr>
    </w:p>
    <w:p w:rsidR="00D572A0" w:rsidRDefault="00620763">
      <w:pPr>
        <w:ind w:left="116"/>
        <w:rPr>
          <w:sz w:val="20"/>
        </w:rPr>
      </w:pPr>
      <w:r>
        <w:rPr>
          <w:i/>
          <w:sz w:val="20"/>
        </w:rPr>
        <w:t>Book section</w:t>
      </w:r>
      <w:r>
        <w:rPr>
          <w:sz w:val="20"/>
        </w:rPr>
        <w:t>:</w:t>
      </w:r>
    </w:p>
    <w:p w:rsidR="00D572A0" w:rsidRDefault="00D572A0">
      <w:pPr>
        <w:pStyle w:val="Zkladntext"/>
        <w:spacing w:before="4"/>
        <w:rPr>
          <w:sz w:val="24"/>
        </w:rPr>
      </w:pPr>
    </w:p>
    <w:p w:rsidR="00D572A0" w:rsidRDefault="00620763">
      <w:pPr>
        <w:pStyle w:val="Zkladntext"/>
        <w:ind w:left="116" w:right="198"/>
      </w:pPr>
      <w:r>
        <w:t xml:space="preserve">Ahmad, E., &amp; Searle, B. (2006). On the Implementation of Transfers to Subnational Governments. In E. Ahmad &amp; G. Brosio (Eds.), </w:t>
      </w:r>
      <w:r>
        <w:rPr>
          <w:i/>
        </w:rPr>
        <w:t xml:space="preserve">Handbook of Fiscal Federalism </w:t>
      </w:r>
      <w:r>
        <w:t>(pp. 381-404). Cheltenham, UK</w:t>
      </w:r>
      <w:r>
        <w:t>: Edward Elgar.</w:t>
      </w:r>
    </w:p>
    <w:p w:rsidR="00D572A0" w:rsidRDefault="00D572A0">
      <w:pPr>
        <w:pStyle w:val="Zkladntext"/>
        <w:spacing w:before="3"/>
        <w:rPr>
          <w:sz w:val="24"/>
        </w:rPr>
      </w:pPr>
    </w:p>
    <w:p w:rsidR="00D572A0" w:rsidRDefault="00620763">
      <w:pPr>
        <w:pStyle w:val="Zkladntext"/>
        <w:spacing w:before="1"/>
        <w:ind w:left="116"/>
      </w:pPr>
      <w:r>
        <w:t>Oates, W. E. (2004). Taxation in a Federal System: The Tax-Assignment Problem. In W. E. Oates (Ed.),</w:t>
      </w:r>
    </w:p>
    <w:p w:rsidR="00D572A0" w:rsidRDefault="00620763">
      <w:pPr>
        <w:ind w:left="116"/>
        <w:rPr>
          <w:sz w:val="20"/>
        </w:rPr>
      </w:pPr>
      <w:r>
        <w:rPr>
          <w:i/>
          <w:sz w:val="20"/>
        </w:rPr>
        <w:t xml:space="preserve">Environmental policy and fiscal federalism: Selected essays of Wallace E. Oates </w:t>
      </w:r>
      <w:r>
        <w:rPr>
          <w:sz w:val="20"/>
        </w:rPr>
        <w:t>(pp. 351-376): Cheltenham,</w:t>
      </w:r>
    </w:p>
    <w:p w:rsidR="00D572A0" w:rsidRDefault="00620763">
      <w:pPr>
        <w:pStyle w:val="Zkladntext"/>
        <w:ind w:left="116"/>
      </w:pPr>
      <w:r>
        <w:t>U.K. and Northampton, Mass.: El</w:t>
      </w:r>
      <w:r>
        <w:t>gar. (Reprinted from: [1996]).</w:t>
      </w:r>
      <w:bookmarkEnd w:id="0"/>
    </w:p>
    <w:sectPr w:rsidR="00D572A0">
      <w:pgSz w:w="11910" w:h="16840"/>
      <w:pgMar w:top="1320" w:right="1300" w:bottom="280" w:left="1300" w:header="68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763" w:rsidRDefault="00620763">
      <w:r>
        <w:separator/>
      </w:r>
    </w:p>
  </w:endnote>
  <w:endnote w:type="continuationSeparator" w:id="0">
    <w:p w:rsidR="00620763" w:rsidRDefault="0062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763" w:rsidRDefault="00620763">
      <w:r>
        <w:separator/>
      </w:r>
    </w:p>
  </w:footnote>
  <w:footnote w:type="continuationSeparator" w:id="0">
    <w:p w:rsidR="00620763" w:rsidRDefault="0062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2A0" w:rsidRDefault="002F4D14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8595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438785</wp:posOffset>
              </wp:positionV>
              <wp:extent cx="2329180" cy="1377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18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2A0" w:rsidRDefault="00620763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The International Scientific Conference INPROFORUM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5pt;margin-top:34.55pt;width:183.4pt;height:10.8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3M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" filled="f" stroked="f">
              <v:textbox inset="0,0,0,0">
                <w:txbxContent>
                  <w:p w:rsidR="00D572A0" w:rsidRDefault="00620763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The International Scientific Conference INPROFORUM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2A0" w:rsidRDefault="002F4D14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8646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438785</wp:posOffset>
              </wp:positionV>
              <wp:extent cx="2557145" cy="1377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14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2A0" w:rsidRDefault="00620763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The International Scientific Conference INPROFORUM 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5pt;margin-top:34.55pt;width:201.35pt;height:10.85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9AYrgIAALA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" filled="f" stroked="f">
              <v:textbox inset="0,0,0,0">
                <w:txbxContent>
                  <w:p w:rsidR="00D572A0" w:rsidRDefault="00620763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The International Scientific Conference INPROFORUM 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0F6C"/>
    <w:multiLevelType w:val="hybridMultilevel"/>
    <w:tmpl w:val="A0FEC7E6"/>
    <w:lvl w:ilvl="0" w:tplc="6024D61C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7F22BE80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CD167842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  <w:lvl w:ilvl="3" w:tplc="DA5EE0DC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1902BC2A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en-US"/>
      </w:rPr>
    </w:lvl>
    <w:lvl w:ilvl="5" w:tplc="34147542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en-US"/>
      </w:rPr>
    </w:lvl>
    <w:lvl w:ilvl="6" w:tplc="FD98589A">
      <w:numFmt w:val="bullet"/>
      <w:lvlText w:val="•"/>
      <w:lvlJc w:val="left"/>
      <w:pPr>
        <w:ind w:left="5918" w:hanging="360"/>
      </w:pPr>
      <w:rPr>
        <w:rFonts w:hint="default"/>
        <w:lang w:val="en-US" w:eastAsia="en-US" w:bidi="en-US"/>
      </w:rPr>
    </w:lvl>
    <w:lvl w:ilvl="7" w:tplc="97AACA58"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en-US"/>
      </w:rPr>
    </w:lvl>
    <w:lvl w:ilvl="8" w:tplc="3B4C3F02">
      <w:numFmt w:val="bullet"/>
      <w:lvlText w:val="•"/>
      <w:lvlJc w:val="left"/>
      <w:pPr>
        <w:ind w:left="761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A0"/>
    <w:rsid w:val="002F4D14"/>
    <w:rsid w:val="00620763"/>
    <w:rsid w:val="00D5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BE43B"/>
  <w15:docId w15:val="{DA5BBC78-0914-41ED-94FB-49C73E0D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Nadpis1">
    <w:name w:val="heading 1"/>
    <w:basedOn w:val="Normln"/>
    <w:uiPriority w:val="9"/>
    <w:qFormat/>
    <w:pPr>
      <w:ind w:left="117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94"/>
      <w:ind w:left="117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7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eaweb.org/jel/guide/jel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Structure of the paper</vt:lpstr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Structure of the paper</dc:title>
  <dc:creator>Martin</dc:creator>
  <cp:lastModifiedBy>Soukupová Nikola Ing.</cp:lastModifiedBy>
  <cp:revision>2</cp:revision>
  <dcterms:created xsi:type="dcterms:W3CDTF">2019-11-19T11:15:00Z</dcterms:created>
  <dcterms:modified xsi:type="dcterms:W3CDTF">2019-11-19T11:15:00Z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2019-11-19T00:00:00Z</vt:filetime>
  </property>
</Properties>
</file>